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C4A13" w14:textId="3A918D09" w:rsidR="006277BE" w:rsidRPr="006277BE" w:rsidRDefault="0057197F" w:rsidP="006D0335">
      <w:pPr>
        <w:pStyle w:val="NoSpacing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Robert Greulich </w:t>
      </w:r>
      <w:r w:rsidR="006277BE">
        <w:rPr>
          <w:b/>
          <w:sz w:val="24"/>
          <w:szCs w:val="24"/>
        </w:rPr>
        <w:t xml:space="preserve">Recognized as Top </w:t>
      </w:r>
      <w:r w:rsidR="00FA46CA">
        <w:rPr>
          <w:b/>
          <w:sz w:val="24"/>
          <w:szCs w:val="24"/>
        </w:rPr>
        <w:t>Financial Adviser</w:t>
      </w:r>
      <w:r w:rsidR="006277BE">
        <w:rPr>
          <w:b/>
          <w:sz w:val="24"/>
          <w:szCs w:val="24"/>
        </w:rPr>
        <w:t xml:space="preserve"> in the U.S. by HTK</w:t>
      </w:r>
    </w:p>
    <w:p w14:paraId="24844905" w14:textId="77777777" w:rsidR="006D0335" w:rsidRPr="006D0335" w:rsidRDefault="006D0335" w:rsidP="006D0335">
      <w:pPr>
        <w:pStyle w:val="NoSpacing"/>
        <w:rPr>
          <w:b/>
          <w:sz w:val="24"/>
          <w:szCs w:val="24"/>
        </w:rPr>
      </w:pPr>
    </w:p>
    <w:p w14:paraId="3E0821CD" w14:textId="7E841F33" w:rsidR="00A44951" w:rsidRPr="007E6FC8" w:rsidRDefault="001B31DF" w:rsidP="006D0335">
      <w:pPr>
        <w:pStyle w:val="NoSpacing"/>
        <w:rPr>
          <w:rFonts w:asciiTheme="majorHAnsi" w:hAnsiTheme="majorHAnsi" w:cs="Aldhabi"/>
          <w:vertAlign w:val="superscript"/>
        </w:rPr>
      </w:pPr>
      <w:r w:rsidRPr="007E6FC8">
        <w:rPr>
          <w:rFonts w:asciiTheme="majorHAnsi" w:hAnsiTheme="majorHAnsi" w:cs="Aldhabi"/>
        </w:rPr>
        <w:t>The Pinnacle Planning Group, LLC</w:t>
      </w:r>
      <w:r w:rsidR="006277BE" w:rsidRPr="007E6FC8">
        <w:rPr>
          <w:rFonts w:asciiTheme="majorHAnsi" w:hAnsiTheme="majorHAnsi" w:cs="Aldhabi"/>
        </w:rPr>
        <w:t xml:space="preserve">, </w:t>
      </w:r>
      <w:r w:rsidR="006D0335" w:rsidRPr="007E6FC8">
        <w:rPr>
          <w:rFonts w:asciiTheme="majorHAnsi" w:hAnsiTheme="majorHAnsi" w:cs="Aldhabi"/>
        </w:rPr>
        <w:t>a</w:t>
      </w:r>
      <w:r w:rsidRPr="007E6FC8">
        <w:rPr>
          <w:rFonts w:asciiTheme="majorHAnsi" w:hAnsiTheme="majorHAnsi" w:cs="Aldhabi"/>
        </w:rPr>
        <w:t xml:space="preserve">n Oak Brook, IL </w:t>
      </w:r>
      <w:r w:rsidR="006277BE" w:rsidRPr="007E6FC8">
        <w:rPr>
          <w:rFonts w:asciiTheme="majorHAnsi" w:hAnsiTheme="majorHAnsi" w:cs="Aldhabi"/>
        </w:rPr>
        <w:t>based</w:t>
      </w:r>
      <w:r w:rsidR="006D0335" w:rsidRPr="007E6FC8">
        <w:rPr>
          <w:rFonts w:asciiTheme="majorHAnsi" w:hAnsiTheme="majorHAnsi" w:cs="Aldhabi"/>
        </w:rPr>
        <w:t xml:space="preserve"> financial services firm, </w:t>
      </w:r>
      <w:r w:rsidR="006277BE" w:rsidRPr="007E6FC8">
        <w:rPr>
          <w:rFonts w:asciiTheme="majorHAnsi" w:hAnsiTheme="majorHAnsi" w:cs="Aldhabi"/>
        </w:rPr>
        <w:t xml:space="preserve">is </w:t>
      </w:r>
      <w:r w:rsidR="00B165B1" w:rsidRPr="007E6FC8">
        <w:rPr>
          <w:rFonts w:asciiTheme="majorHAnsi" w:hAnsiTheme="majorHAnsi" w:cs="Aldhabi"/>
        </w:rPr>
        <w:t xml:space="preserve">pleased </w:t>
      </w:r>
      <w:r w:rsidR="006277BE" w:rsidRPr="007E6FC8">
        <w:rPr>
          <w:rFonts w:asciiTheme="majorHAnsi" w:hAnsiTheme="majorHAnsi" w:cs="Aldhabi"/>
        </w:rPr>
        <w:t>to announce that</w:t>
      </w:r>
      <w:r w:rsidRPr="007E6FC8">
        <w:rPr>
          <w:rFonts w:asciiTheme="majorHAnsi" w:hAnsiTheme="majorHAnsi" w:cs="Aldhabi"/>
        </w:rPr>
        <w:t xml:space="preserve"> Robert Greulich has</w:t>
      </w:r>
      <w:r w:rsidR="006277BE" w:rsidRPr="007E6FC8">
        <w:rPr>
          <w:rFonts w:asciiTheme="majorHAnsi" w:hAnsiTheme="majorHAnsi" w:cs="Aldhabi"/>
        </w:rPr>
        <w:t xml:space="preserve"> been </w:t>
      </w:r>
      <w:r w:rsidR="006D0335" w:rsidRPr="007E6FC8">
        <w:rPr>
          <w:rFonts w:asciiTheme="majorHAnsi" w:hAnsiTheme="majorHAnsi" w:cs="Aldhabi"/>
        </w:rPr>
        <w:t xml:space="preserve">recognized by broker-dealer </w:t>
      </w:r>
      <w:r w:rsidR="006277BE" w:rsidRPr="007E6FC8">
        <w:rPr>
          <w:rFonts w:asciiTheme="majorHAnsi" w:hAnsiTheme="majorHAnsi" w:cs="Aldhabi"/>
        </w:rPr>
        <w:t>and registered investment advise</w:t>
      </w:r>
      <w:r w:rsidR="006D0335" w:rsidRPr="007E6FC8">
        <w:rPr>
          <w:rFonts w:asciiTheme="majorHAnsi" w:hAnsiTheme="majorHAnsi" w:cs="Aldhabi"/>
        </w:rPr>
        <w:t xml:space="preserve">r, Hornor, Townsend &amp; Kent, LLC </w:t>
      </w:r>
      <w:r w:rsidR="00A44951" w:rsidRPr="007E6FC8">
        <w:rPr>
          <w:rFonts w:asciiTheme="majorHAnsi" w:hAnsiTheme="majorHAnsi" w:cs="Aldhabi"/>
        </w:rPr>
        <w:t xml:space="preserve">(HTK), </w:t>
      </w:r>
      <w:r w:rsidR="006277BE" w:rsidRPr="007E6FC8">
        <w:rPr>
          <w:rFonts w:asciiTheme="majorHAnsi" w:hAnsiTheme="majorHAnsi" w:cs="Aldhabi"/>
        </w:rPr>
        <w:t>as one of the top</w:t>
      </w:r>
      <w:r w:rsidR="006D0335" w:rsidRPr="007E6FC8">
        <w:rPr>
          <w:rFonts w:asciiTheme="majorHAnsi" w:hAnsiTheme="majorHAnsi" w:cs="Aldhabi"/>
        </w:rPr>
        <w:t xml:space="preserve"> </w:t>
      </w:r>
      <w:r w:rsidR="00FA46CA" w:rsidRPr="007E6FC8">
        <w:rPr>
          <w:rFonts w:asciiTheme="majorHAnsi" w:hAnsiTheme="majorHAnsi" w:cs="Aldhabi"/>
        </w:rPr>
        <w:t xml:space="preserve">financial </w:t>
      </w:r>
      <w:r w:rsidR="008D6F3D" w:rsidRPr="007E6FC8">
        <w:rPr>
          <w:rFonts w:asciiTheme="majorHAnsi" w:hAnsiTheme="majorHAnsi" w:cs="Aldhabi"/>
        </w:rPr>
        <w:t>advisers</w:t>
      </w:r>
      <w:r w:rsidR="006277BE" w:rsidRPr="007E6FC8">
        <w:rPr>
          <w:rFonts w:asciiTheme="majorHAnsi" w:hAnsiTheme="majorHAnsi" w:cs="Aldhabi"/>
        </w:rPr>
        <w:t xml:space="preserve"> in the U.S. for 2018.</w:t>
      </w:r>
      <w:r w:rsidR="0049012D" w:rsidRPr="007E6FC8">
        <w:rPr>
          <w:rFonts w:asciiTheme="majorHAnsi" w:hAnsiTheme="majorHAnsi" w:cs="Aldhabi"/>
          <w:vertAlign w:val="superscript"/>
        </w:rPr>
        <w:t>1</w:t>
      </w:r>
    </w:p>
    <w:p w14:paraId="2DADDC36" w14:textId="01E5CEA0" w:rsidR="007E6FC8" w:rsidRPr="007E6FC8" w:rsidRDefault="007E6FC8" w:rsidP="006D0335">
      <w:pPr>
        <w:pStyle w:val="NoSpacing"/>
        <w:rPr>
          <w:rFonts w:asciiTheme="majorHAnsi" w:hAnsiTheme="majorHAnsi" w:cs="Aldhabi"/>
          <w:vertAlign w:val="superscript"/>
        </w:rPr>
      </w:pPr>
    </w:p>
    <w:p w14:paraId="503FBE3B" w14:textId="77777777" w:rsidR="00D91925" w:rsidRPr="007E6FC8" w:rsidRDefault="00086F0E" w:rsidP="00D91925">
      <w:pPr>
        <w:pStyle w:val="NoSpacing"/>
        <w:rPr>
          <w:rFonts w:asciiTheme="majorHAnsi" w:hAnsiTheme="majorHAnsi" w:cs="Aldhabi"/>
        </w:rPr>
      </w:pPr>
      <w:r w:rsidRPr="007E6FC8">
        <w:rPr>
          <w:rFonts w:asciiTheme="majorHAnsi" w:hAnsiTheme="majorHAnsi" w:cs="Aldhabi"/>
        </w:rPr>
        <w:t>Each</w:t>
      </w:r>
      <w:r w:rsidR="006277BE" w:rsidRPr="007E6FC8">
        <w:rPr>
          <w:rFonts w:asciiTheme="majorHAnsi" w:hAnsiTheme="majorHAnsi" w:cs="Aldhabi"/>
        </w:rPr>
        <w:t xml:space="preserve"> year, </w:t>
      </w:r>
      <w:r w:rsidR="00A44951" w:rsidRPr="007E6FC8">
        <w:rPr>
          <w:rFonts w:asciiTheme="majorHAnsi" w:hAnsiTheme="majorHAnsi" w:cs="Aldhabi"/>
        </w:rPr>
        <w:t xml:space="preserve">HTK </w:t>
      </w:r>
      <w:r w:rsidR="006277BE" w:rsidRPr="007E6FC8">
        <w:rPr>
          <w:rFonts w:asciiTheme="majorHAnsi" w:hAnsiTheme="majorHAnsi" w:cs="Aldhabi"/>
        </w:rPr>
        <w:t>releases a ranking of its 900 financial advisers</w:t>
      </w:r>
      <w:r w:rsidR="006277BE" w:rsidRPr="007E6FC8">
        <w:rPr>
          <w:rFonts w:asciiTheme="majorHAnsi" w:hAnsiTheme="majorHAnsi" w:cs="Aldhabi"/>
          <w:vertAlign w:val="superscript"/>
        </w:rPr>
        <w:t>2</w:t>
      </w:r>
      <w:r w:rsidR="006277BE" w:rsidRPr="007E6FC8">
        <w:rPr>
          <w:rFonts w:asciiTheme="majorHAnsi" w:hAnsiTheme="majorHAnsi" w:cs="Aldhabi"/>
        </w:rPr>
        <w:t xml:space="preserve"> who have qualified for the firm’s </w:t>
      </w:r>
      <w:r w:rsidR="00392081" w:rsidRPr="007E6FC8">
        <w:rPr>
          <w:rFonts w:asciiTheme="majorHAnsi" w:hAnsiTheme="majorHAnsi" w:cs="Aldhabi"/>
        </w:rPr>
        <w:t xml:space="preserve">Summit and Peak </w:t>
      </w:r>
      <w:r w:rsidR="006277BE" w:rsidRPr="007E6FC8">
        <w:rPr>
          <w:rFonts w:asciiTheme="majorHAnsi" w:hAnsiTheme="majorHAnsi" w:cs="Aldhabi"/>
        </w:rPr>
        <w:t xml:space="preserve">Top </w:t>
      </w:r>
      <w:r w:rsidR="0049012D" w:rsidRPr="007E6FC8">
        <w:rPr>
          <w:rFonts w:asciiTheme="majorHAnsi" w:hAnsiTheme="majorHAnsi" w:cs="Aldhabi"/>
        </w:rPr>
        <w:t xml:space="preserve">Financial </w:t>
      </w:r>
      <w:r w:rsidR="006277BE" w:rsidRPr="007E6FC8">
        <w:rPr>
          <w:rFonts w:asciiTheme="majorHAnsi" w:hAnsiTheme="majorHAnsi" w:cs="Aldhabi"/>
        </w:rPr>
        <w:t xml:space="preserve">Adviser Program. </w:t>
      </w:r>
      <w:r w:rsidR="00D91925" w:rsidRPr="007E6FC8">
        <w:rPr>
          <w:rFonts w:asciiTheme="majorHAnsi" w:hAnsiTheme="majorHAnsi" w:cs="Aldhabi"/>
          <w:iCs/>
        </w:rPr>
        <w:t>Robert Greulich is recognized as a Peak adviser and has been part of the firm’s prestigious group of leading financial advisers in the U.S. for the past five years.</w:t>
      </w:r>
    </w:p>
    <w:p w14:paraId="33AA46CE" w14:textId="266B1E49" w:rsidR="0049012D" w:rsidRPr="007E6FC8" w:rsidRDefault="0049012D" w:rsidP="006D0335">
      <w:pPr>
        <w:pStyle w:val="NoSpacing"/>
        <w:rPr>
          <w:rFonts w:asciiTheme="majorHAnsi" w:hAnsiTheme="majorHAnsi" w:cs="Aldhabi"/>
        </w:rPr>
      </w:pPr>
    </w:p>
    <w:p w14:paraId="76759B00" w14:textId="1D32C429" w:rsidR="0049012D" w:rsidRPr="007E6FC8" w:rsidRDefault="0049012D" w:rsidP="006D0335">
      <w:pPr>
        <w:pStyle w:val="NoSpacing"/>
        <w:rPr>
          <w:rFonts w:asciiTheme="majorHAnsi" w:hAnsiTheme="majorHAnsi" w:cs="Aldhabi"/>
        </w:rPr>
      </w:pPr>
      <w:r w:rsidRPr="007E6FC8">
        <w:rPr>
          <w:rFonts w:asciiTheme="majorHAnsi" w:hAnsiTheme="majorHAnsi" w:cs="Aldhabi"/>
        </w:rPr>
        <w:t xml:space="preserve">“Our </w:t>
      </w:r>
      <w:r w:rsidR="005B0C6B" w:rsidRPr="007E6FC8">
        <w:rPr>
          <w:rFonts w:asciiTheme="majorHAnsi" w:hAnsiTheme="majorHAnsi" w:cs="Aldhabi"/>
        </w:rPr>
        <w:t>Summit and Peak</w:t>
      </w:r>
      <w:r w:rsidRPr="007E6FC8">
        <w:rPr>
          <w:rFonts w:asciiTheme="majorHAnsi" w:hAnsiTheme="majorHAnsi" w:cs="Aldhabi"/>
        </w:rPr>
        <w:t xml:space="preserve"> advisers represent those leading </w:t>
      </w:r>
      <w:r w:rsidR="00737993" w:rsidRPr="007E6FC8">
        <w:rPr>
          <w:rFonts w:asciiTheme="majorHAnsi" w:hAnsiTheme="majorHAnsi" w:cs="Aldhabi"/>
        </w:rPr>
        <w:t>the pack at HTK. They have a demonstrated history of excellence and a strong commitment to delivering robust financial solutions to their clients,” says Timothy Donahue, president and CEO, HTK. “We’re proud to have these advisers represent our firm</w:t>
      </w:r>
      <w:r w:rsidR="00674B8D" w:rsidRPr="007E6FC8">
        <w:rPr>
          <w:rFonts w:asciiTheme="majorHAnsi" w:hAnsiTheme="majorHAnsi" w:cs="Aldhabi"/>
        </w:rPr>
        <w:t>, both</w:t>
      </w:r>
      <w:r w:rsidR="00737993" w:rsidRPr="007E6FC8">
        <w:rPr>
          <w:rFonts w:asciiTheme="majorHAnsi" w:hAnsiTheme="majorHAnsi" w:cs="Aldhabi"/>
        </w:rPr>
        <w:t xml:space="preserve"> to their clients and within the financial services industry at large.”</w:t>
      </w:r>
    </w:p>
    <w:p w14:paraId="1371A858" w14:textId="1B448B1C" w:rsidR="005B0C6B" w:rsidRPr="007E6FC8" w:rsidRDefault="005B0C6B" w:rsidP="00F97303">
      <w:pPr>
        <w:pStyle w:val="NoSpacing"/>
        <w:rPr>
          <w:rFonts w:asciiTheme="majorHAnsi" w:hAnsiTheme="majorHAnsi" w:cs="Aldhabi"/>
        </w:rPr>
      </w:pPr>
    </w:p>
    <w:p w14:paraId="5AC56DCD" w14:textId="3A166670" w:rsidR="0049012D" w:rsidRPr="007E6FC8" w:rsidRDefault="0049012D" w:rsidP="0049012D">
      <w:pPr>
        <w:pStyle w:val="NoSpacing"/>
        <w:rPr>
          <w:rFonts w:asciiTheme="majorHAnsi" w:hAnsiTheme="majorHAnsi" w:cs="Aldhabi"/>
        </w:rPr>
      </w:pPr>
      <w:r w:rsidRPr="007E6FC8">
        <w:rPr>
          <w:rFonts w:asciiTheme="majorHAnsi" w:hAnsiTheme="majorHAnsi" w:cs="Aldhabi"/>
        </w:rPr>
        <w:t xml:space="preserve">For more than 50 years, HTK has been the trusted partner supporting </w:t>
      </w:r>
      <w:r w:rsidR="00CF14C1" w:rsidRPr="007E6FC8">
        <w:rPr>
          <w:rFonts w:asciiTheme="majorHAnsi" w:hAnsiTheme="majorHAnsi" w:cs="Aldhabi"/>
        </w:rPr>
        <w:t xml:space="preserve">financial </w:t>
      </w:r>
      <w:r w:rsidRPr="007E6FC8">
        <w:rPr>
          <w:rFonts w:asciiTheme="majorHAnsi" w:hAnsiTheme="majorHAnsi" w:cs="Aldhabi"/>
        </w:rPr>
        <w:t>advisers on their path to success. HTK is committed to offering advisers the independence to build their practice their way through the delivery of a flexible platform, leading solutions and personalized service. Learn more at www.htk.com.</w:t>
      </w:r>
    </w:p>
    <w:p w14:paraId="5EE608DD" w14:textId="417B1846" w:rsidR="00F97303" w:rsidRDefault="00F97303" w:rsidP="006D0335">
      <w:pPr>
        <w:pStyle w:val="NoSpacing"/>
      </w:pPr>
    </w:p>
    <w:p w14:paraId="2A5EFBCA" w14:textId="18EE3D5E" w:rsidR="00086F0E" w:rsidRDefault="00086F0E" w:rsidP="006D0335">
      <w:pPr>
        <w:pStyle w:val="NoSpacing"/>
      </w:pPr>
    </w:p>
    <w:p w14:paraId="06B4EF7B" w14:textId="6653FB3A" w:rsidR="00086F0E" w:rsidRDefault="00086F0E" w:rsidP="006D0335">
      <w:pPr>
        <w:pStyle w:val="NoSpacing"/>
      </w:pPr>
    </w:p>
    <w:p w14:paraId="3ED9CD17" w14:textId="449DD036" w:rsidR="00086F0E" w:rsidRDefault="00086F0E" w:rsidP="006D0335">
      <w:pPr>
        <w:pStyle w:val="NoSpacing"/>
      </w:pPr>
    </w:p>
    <w:p w14:paraId="75496DD2" w14:textId="1D071910" w:rsidR="00086F0E" w:rsidRDefault="00086F0E" w:rsidP="006D0335">
      <w:pPr>
        <w:pStyle w:val="NoSpacing"/>
      </w:pPr>
    </w:p>
    <w:p w14:paraId="34593362" w14:textId="5D1515C2" w:rsidR="00086F0E" w:rsidRDefault="00086F0E" w:rsidP="006D0335">
      <w:pPr>
        <w:pStyle w:val="NoSpacing"/>
      </w:pPr>
    </w:p>
    <w:p w14:paraId="7419B7F9" w14:textId="19B3BE40" w:rsidR="00086F0E" w:rsidRDefault="00086F0E" w:rsidP="006D0335">
      <w:pPr>
        <w:pStyle w:val="NoSpacing"/>
      </w:pPr>
    </w:p>
    <w:p w14:paraId="1F965B38" w14:textId="66362F22" w:rsidR="00086F0E" w:rsidRDefault="00086F0E" w:rsidP="006D0335">
      <w:pPr>
        <w:pStyle w:val="NoSpacing"/>
      </w:pPr>
    </w:p>
    <w:p w14:paraId="47BB299B" w14:textId="7237FB9E" w:rsidR="00086F0E" w:rsidRDefault="00086F0E" w:rsidP="006D0335">
      <w:pPr>
        <w:pStyle w:val="NoSpacing"/>
      </w:pPr>
    </w:p>
    <w:p w14:paraId="68BCD435" w14:textId="2F25E02E" w:rsidR="00086F0E" w:rsidRDefault="00086F0E" w:rsidP="006D0335">
      <w:pPr>
        <w:pStyle w:val="NoSpacing"/>
      </w:pPr>
    </w:p>
    <w:p w14:paraId="20B0A868" w14:textId="41728461" w:rsidR="00CB7BF9" w:rsidRPr="0050287F" w:rsidRDefault="00CB7BF9" w:rsidP="006D0335">
      <w:pPr>
        <w:pStyle w:val="NoSpacing"/>
        <w:rPr>
          <w:rFonts w:ascii="Calibri" w:hAnsi="Calibri" w:cs="Calibri"/>
          <w:sz w:val="18"/>
          <w:szCs w:val="18"/>
        </w:rPr>
      </w:pPr>
    </w:p>
    <w:sectPr w:rsidR="00CB7BF9" w:rsidRPr="00502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5B2E3" w14:textId="77777777" w:rsidR="0048253B" w:rsidRDefault="0048253B" w:rsidP="0049012D">
      <w:r>
        <w:separator/>
      </w:r>
    </w:p>
  </w:endnote>
  <w:endnote w:type="continuationSeparator" w:id="0">
    <w:p w14:paraId="1E57E3E0" w14:textId="77777777" w:rsidR="0048253B" w:rsidRDefault="0048253B" w:rsidP="0049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A5F6" w14:textId="77777777" w:rsidR="001B31DF" w:rsidRDefault="001B3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1DBA3" w14:textId="2817C7F2" w:rsidR="00086F0E" w:rsidRPr="005B0C6B" w:rsidRDefault="00086F0E" w:rsidP="005B0C6B">
    <w:pPr>
      <w:rPr>
        <w:rFonts w:ascii="Calibri" w:hAnsi="Calibri" w:cs="Calibri"/>
        <w:sz w:val="18"/>
        <w:szCs w:val="18"/>
      </w:rPr>
    </w:pPr>
    <w:r w:rsidRPr="005B0C6B">
      <w:rPr>
        <w:rFonts w:ascii="Calibri" w:hAnsi="Calibri" w:cs="Calibri"/>
        <w:bCs/>
        <w:sz w:val="18"/>
        <w:szCs w:val="18"/>
        <w:vertAlign w:val="superscript"/>
      </w:rPr>
      <w:t>1</w:t>
    </w:r>
    <w:r w:rsidR="005B0C6B" w:rsidRPr="005B0C6B">
      <w:rPr>
        <w:rFonts w:ascii="Calibri" w:hAnsi="Calibri" w:cs="Calibri"/>
        <w:sz w:val="18"/>
        <w:szCs w:val="18"/>
      </w:rPr>
      <w:t xml:space="preserve">The </w:t>
    </w:r>
    <w:r w:rsidR="000F4215">
      <w:rPr>
        <w:rFonts w:ascii="Calibri" w:hAnsi="Calibri" w:cs="Calibri"/>
        <w:sz w:val="18"/>
        <w:szCs w:val="18"/>
      </w:rPr>
      <w:t>Summit and Peak</w:t>
    </w:r>
    <w:r w:rsidR="005B0C6B" w:rsidRPr="005B0C6B">
      <w:rPr>
        <w:rFonts w:ascii="Calibri" w:hAnsi="Calibri" w:cs="Calibri"/>
        <w:sz w:val="18"/>
        <w:szCs w:val="18"/>
      </w:rPr>
      <w:t xml:space="preserve"> programs are base</w:t>
    </w:r>
    <w:r w:rsidR="0055104A">
      <w:rPr>
        <w:rFonts w:ascii="Calibri" w:hAnsi="Calibri" w:cs="Calibri"/>
        <w:sz w:val="18"/>
        <w:szCs w:val="18"/>
      </w:rPr>
      <w:t>d on sales production levels/</w:t>
    </w:r>
    <w:r w:rsidR="005B0C6B">
      <w:rPr>
        <w:rFonts w:ascii="Calibri" w:hAnsi="Calibri" w:cs="Calibri"/>
        <w:sz w:val="18"/>
        <w:szCs w:val="18"/>
      </w:rPr>
      <w:t xml:space="preserve">Gross Dealer Concession (GDC) from January 1, 2018 through December 31, 2018. </w:t>
    </w:r>
    <w:r w:rsidR="005B0C6B" w:rsidRPr="005B0C6B">
      <w:rPr>
        <w:rFonts w:ascii="Calibri" w:hAnsi="Calibri" w:cs="Calibri"/>
        <w:sz w:val="18"/>
        <w:szCs w:val="18"/>
      </w:rPr>
      <w:t xml:space="preserve">Entry into the Summit </w:t>
    </w:r>
    <w:r w:rsidR="000F4215">
      <w:rPr>
        <w:rFonts w:ascii="Calibri" w:hAnsi="Calibri" w:cs="Calibri"/>
        <w:sz w:val="18"/>
        <w:szCs w:val="18"/>
      </w:rPr>
      <w:t xml:space="preserve">and Peak </w:t>
    </w:r>
    <w:r w:rsidR="005B0C6B" w:rsidRPr="005B0C6B">
      <w:rPr>
        <w:rFonts w:ascii="Calibri" w:hAnsi="Calibri" w:cs="Calibri"/>
        <w:sz w:val="18"/>
        <w:szCs w:val="18"/>
      </w:rPr>
      <w:t xml:space="preserve">programs is not based on client experience or client results. The award does </w:t>
    </w:r>
    <w:r w:rsidR="005B0C6B" w:rsidRPr="005B0C6B">
      <w:rPr>
        <w:rFonts w:ascii="Calibri" w:hAnsi="Calibri" w:cs="Calibri"/>
        <w:b/>
        <w:bCs/>
        <w:sz w:val="18"/>
        <w:szCs w:val="18"/>
      </w:rPr>
      <w:t>not</w:t>
    </w:r>
    <w:r w:rsidR="005B0C6B" w:rsidRPr="005B0C6B">
      <w:rPr>
        <w:rFonts w:ascii="Calibri" w:hAnsi="Calibri" w:cs="Calibri"/>
        <w:sz w:val="18"/>
        <w:szCs w:val="18"/>
      </w:rPr>
      <w:t xml:space="preserve"> guarantee that using an award winner will result in future investment success. </w:t>
    </w:r>
  </w:p>
  <w:p w14:paraId="2153DF6C" w14:textId="77777777" w:rsidR="00086F0E" w:rsidRPr="005B0C6B" w:rsidRDefault="00086F0E" w:rsidP="00086F0E">
    <w:pPr>
      <w:rPr>
        <w:rFonts w:ascii="Calibri" w:hAnsi="Calibri" w:cs="Calibri"/>
        <w:bCs/>
        <w:sz w:val="18"/>
        <w:szCs w:val="18"/>
      </w:rPr>
    </w:pPr>
    <w:r w:rsidRPr="005B0C6B">
      <w:rPr>
        <w:rFonts w:ascii="Calibri" w:hAnsi="Calibri" w:cs="Calibri"/>
        <w:bCs/>
        <w:sz w:val="18"/>
        <w:szCs w:val="18"/>
        <w:vertAlign w:val="superscript"/>
      </w:rPr>
      <w:t>2</w:t>
    </w:r>
    <w:r w:rsidRPr="005B0C6B">
      <w:rPr>
        <w:rFonts w:ascii="Calibri" w:hAnsi="Calibri" w:cs="Calibri"/>
        <w:bCs/>
        <w:sz w:val="18"/>
        <w:szCs w:val="18"/>
      </w:rPr>
      <w:t>As of December 31, 2018, HTK has 1,018 registered representatives.</w:t>
    </w:r>
  </w:p>
  <w:p w14:paraId="29AEF898" w14:textId="77777777" w:rsidR="00086F0E" w:rsidRPr="005B0C6B" w:rsidRDefault="00086F0E" w:rsidP="00086F0E">
    <w:pPr>
      <w:pStyle w:val="NoSpacing"/>
      <w:rPr>
        <w:rFonts w:ascii="Calibri" w:hAnsi="Calibri" w:cs="Calibri"/>
        <w:bCs/>
        <w:sz w:val="18"/>
        <w:szCs w:val="18"/>
      </w:rPr>
    </w:pPr>
  </w:p>
  <w:p w14:paraId="3883A833" w14:textId="500EE850" w:rsidR="00086F0E" w:rsidRPr="005B0C6B" w:rsidRDefault="001B31DF" w:rsidP="00086F0E">
    <w:pPr>
      <w:pStyle w:val="NoSpacing"/>
      <w:rPr>
        <w:rFonts w:ascii="Calibri" w:hAnsi="Calibri" w:cs="Calibri"/>
        <w:bCs/>
        <w:sz w:val="18"/>
        <w:szCs w:val="18"/>
      </w:rPr>
    </w:pPr>
    <w:r w:rsidRPr="001B31DF">
      <w:rPr>
        <w:rFonts w:ascii="Calibri" w:hAnsi="Calibri" w:cs="Calibri"/>
        <w:bCs/>
        <w:sz w:val="18"/>
        <w:szCs w:val="18"/>
      </w:rPr>
      <w:t>Robert Greulich</w:t>
    </w:r>
    <w:r w:rsidR="00086F0E" w:rsidRPr="001B31DF">
      <w:rPr>
        <w:rFonts w:ascii="Calibri" w:hAnsi="Calibri" w:cs="Calibri"/>
        <w:bCs/>
        <w:sz w:val="18"/>
        <w:szCs w:val="18"/>
      </w:rPr>
      <w:t xml:space="preserve"> is</w:t>
    </w:r>
    <w:r>
      <w:rPr>
        <w:rFonts w:ascii="Calibri" w:hAnsi="Calibri" w:cs="Calibri"/>
        <w:bCs/>
        <w:sz w:val="18"/>
        <w:szCs w:val="18"/>
      </w:rPr>
      <w:t xml:space="preserve"> a</w:t>
    </w:r>
    <w:r w:rsidR="00086F0E" w:rsidRPr="005B0C6B">
      <w:rPr>
        <w:rFonts w:ascii="Calibri" w:hAnsi="Calibri" w:cs="Calibri"/>
        <w:bCs/>
        <w:sz w:val="18"/>
        <w:szCs w:val="18"/>
      </w:rPr>
      <w:t xml:space="preserve"> Registered Representative</w:t>
    </w:r>
    <w:r>
      <w:rPr>
        <w:rFonts w:ascii="Calibri" w:hAnsi="Calibri" w:cs="Calibri"/>
        <w:bCs/>
        <w:sz w:val="18"/>
        <w:szCs w:val="18"/>
      </w:rPr>
      <w:t xml:space="preserve"> </w:t>
    </w:r>
    <w:r w:rsidR="00086F0E" w:rsidRPr="005B0C6B">
      <w:rPr>
        <w:rFonts w:ascii="Calibri" w:hAnsi="Calibri" w:cs="Calibri"/>
        <w:bCs/>
        <w:sz w:val="18"/>
        <w:szCs w:val="18"/>
      </w:rPr>
      <w:t xml:space="preserve">of Hornor, Townsend &amp; Kent, LLC (HTK), Registered Investment Adviser, Member FINRA/SIPC. </w:t>
    </w:r>
    <w:r>
      <w:rPr>
        <w:rFonts w:ascii="Calibri" w:hAnsi="Calibri" w:cs="Calibri"/>
        <w:bCs/>
        <w:sz w:val="18"/>
        <w:szCs w:val="18"/>
      </w:rPr>
      <w:t xml:space="preserve">8770 W. Bryn </w:t>
    </w:r>
    <w:proofErr w:type="spellStart"/>
    <w:r>
      <w:rPr>
        <w:rFonts w:ascii="Calibri" w:hAnsi="Calibri" w:cs="Calibri"/>
        <w:bCs/>
        <w:sz w:val="18"/>
        <w:szCs w:val="18"/>
      </w:rPr>
      <w:t>Mawr</w:t>
    </w:r>
    <w:proofErr w:type="spellEnd"/>
    <w:r>
      <w:rPr>
        <w:rFonts w:ascii="Calibri" w:hAnsi="Calibri" w:cs="Calibri"/>
        <w:bCs/>
        <w:sz w:val="18"/>
        <w:szCs w:val="18"/>
      </w:rPr>
      <w:t xml:space="preserve"> Suite 1200, Chicago, IL 60631. 773.380.8000. The Pinnacle Planning Group, LLC </w:t>
    </w:r>
    <w:r w:rsidR="00086F0E" w:rsidRPr="005B0C6B">
      <w:rPr>
        <w:rFonts w:ascii="Calibri" w:hAnsi="Calibri" w:cs="Calibri"/>
        <w:bCs/>
        <w:sz w:val="18"/>
        <w:szCs w:val="18"/>
      </w:rPr>
      <w:t>and other listed entities are not affiliated with HTK.</w:t>
    </w:r>
  </w:p>
  <w:p w14:paraId="2DD88339" w14:textId="77777777" w:rsidR="00086F0E" w:rsidRPr="005B0C6B" w:rsidRDefault="00086F0E" w:rsidP="00086F0E">
    <w:pPr>
      <w:pStyle w:val="NoSpacing"/>
      <w:rPr>
        <w:rFonts w:ascii="Calibri" w:hAnsi="Calibri" w:cs="Calibri"/>
        <w:bCs/>
        <w:sz w:val="18"/>
        <w:szCs w:val="18"/>
      </w:rPr>
    </w:pPr>
  </w:p>
  <w:p w14:paraId="662EDB40" w14:textId="77777777" w:rsidR="00086F0E" w:rsidRPr="005B0C6B" w:rsidRDefault="00086F0E" w:rsidP="00086F0E">
    <w:pPr>
      <w:pStyle w:val="NoSpacing"/>
      <w:rPr>
        <w:rFonts w:ascii="Calibri" w:hAnsi="Calibri" w:cs="Calibri"/>
        <w:sz w:val="18"/>
        <w:szCs w:val="18"/>
      </w:rPr>
    </w:pPr>
    <w:r w:rsidRPr="005B0C6B">
      <w:rPr>
        <w:rFonts w:ascii="Calibri" w:hAnsi="Calibri" w:cs="Calibri"/>
        <w:sz w:val="18"/>
        <w:szCs w:val="18"/>
      </w:rPr>
      <w:t xml:space="preserve">Hornor, Townsend &amp; Kent, LLC (HTK) is a wholly-owned subsidiary of The Penn Mutual Life Insurance Company. Member FINRA/SIPC. 600 Dresher Road, Horsham, PA 19044, 800-873-7637. </w:t>
    </w:r>
  </w:p>
  <w:p w14:paraId="2E9E1346" w14:textId="77777777" w:rsidR="00086F0E" w:rsidRPr="005B0C6B" w:rsidRDefault="00086F0E" w:rsidP="00086F0E">
    <w:pPr>
      <w:pStyle w:val="NoSpacing"/>
      <w:rPr>
        <w:rFonts w:ascii="Calibri" w:hAnsi="Calibri" w:cs="Calibri"/>
        <w:bCs/>
        <w:sz w:val="18"/>
        <w:szCs w:val="18"/>
      </w:rPr>
    </w:pPr>
  </w:p>
  <w:p w14:paraId="6B350523" w14:textId="0B0859E6" w:rsidR="00086F0E" w:rsidRDefault="00904217">
    <w:pPr>
      <w:pStyle w:val="Footer"/>
    </w:pPr>
    <w:r>
      <w:rPr>
        <w:rFonts w:eastAsia="Times New Roman"/>
      </w:rPr>
      <w:t>2502436AL_APR21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1CB5D" w14:textId="77777777" w:rsidR="001B31DF" w:rsidRDefault="001B3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FAAE1" w14:textId="77777777" w:rsidR="0048253B" w:rsidRDefault="0048253B" w:rsidP="0049012D">
      <w:r>
        <w:separator/>
      </w:r>
    </w:p>
  </w:footnote>
  <w:footnote w:type="continuationSeparator" w:id="0">
    <w:p w14:paraId="4AFDB239" w14:textId="77777777" w:rsidR="0048253B" w:rsidRDefault="0048253B" w:rsidP="00490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ADDF7" w14:textId="77777777" w:rsidR="001B31DF" w:rsidRDefault="001B3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334EE" w14:textId="380E3C4B" w:rsidR="0049012D" w:rsidRDefault="0049012D">
    <w:pPr>
      <w:pStyle w:val="Header"/>
    </w:pPr>
    <w:r>
      <w:rPr>
        <w:noProof/>
      </w:rPr>
      <w:drawing>
        <wp:inline distT="0" distB="0" distL="0" distR="0" wp14:anchorId="08734DEA" wp14:editId="623291CD">
          <wp:extent cx="2449656" cy="68580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TK-50-Years-Mark-RGB-DarkGunme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777" cy="687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BDAFF" w14:textId="77777777" w:rsidR="0049012D" w:rsidRPr="005B0C6B" w:rsidRDefault="0049012D">
    <w:pPr>
      <w:pStyle w:val="Header"/>
      <w:rPr>
        <w:rFonts w:ascii="Calibri" w:hAnsi="Calibri" w:cs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84A5B" w14:textId="77777777" w:rsidR="001B31DF" w:rsidRDefault="001B31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335"/>
    <w:rsid w:val="00055D5A"/>
    <w:rsid w:val="00061682"/>
    <w:rsid w:val="00086F0E"/>
    <w:rsid w:val="000A189A"/>
    <w:rsid w:val="000A4EBA"/>
    <w:rsid w:val="000C170F"/>
    <w:rsid w:val="000C4BAD"/>
    <w:rsid w:val="000F4215"/>
    <w:rsid w:val="001870A9"/>
    <w:rsid w:val="001B31DF"/>
    <w:rsid w:val="001B643D"/>
    <w:rsid w:val="001F2444"/>
    <w:rsid w:val="00221A8B"/>
    <w:rsid w:val="00387061"/>
    <w:rsid w:val="00392081"/>
    <w:rsid w:val="003D255A"/>
    <w:rsid w:val="00414541"/>
    <w:rsid w:val="00440ABB"/>
    <w:rsid w:val="0045238E"/>
    <w:rsid w:val="0048253B"/>
    <w:rsid w:val="0049012D"/>
    <w:rsid w:val="004D13C9"/>
    <w:rsid w:val="004F2114"/>
    <w:rsid w:val="0050287F"/>
    <w:rsid w:val="0055104A"/>
    <w:rsid w:val="0057197F"/>
    <w:rsid w:val="005A49B9"/>
    <w:rsid w:val="005B0C6B"/>
    <w:rsid w:val="005C133A"/>
    <w:rsid w:val="006277BE"/>
    <w:rsid w:val="00674B8D"/>
    <w:rsid w:val="00676D21"/>
    <w:rsid w:val="006D0335"/>
    <w:rsid w:val="006E24E6"/>
    <w:rsid w:val="00702FEA"/>
    <w:rsid w:val="00737993"/>
    <w:rsid w:val="007E6FC8"/>
    <w:rsid w:val="00851775"/>
    <w:rsid w:val="008D6F3D"/>
    <w:rsid w:val="00904217"/>
    <w:rsid w:val="00981560"/>
    <w:rsid w:val="009B2EAF"/>
    <w:rsid w:val="00A314EB"/>
    <w:rsid w:val="00A44951"/>
    <w:rsid w:val="00B1327F"/>
    <w:rsid w:val="00B165B1"/>
    <w:rsid w:val="00B4467B"/>
    <w:rsid w:val="00B61E9D"/>
    <w:rsid w:val="00BA7F0A"/>
    <w:rsid w:val="00C02F90"/>
    <w:rsid w:val="00C35BD2"/>
    <w:rsid w:val="00CB7BF9"/>
    <w:rsid w:val="00CF14C1"/>
    <w:rsid w:val="00D5495A"/>
    <w:rsid w:val="00D91925"/>
    <w:rsid w:val="00E7609C"/>
    <w:rsid w:val="00EB64FA"/>
    <w:rsid w:val="00F14F3E"/>
    <w:rsid w:val="00F40A14"/>
    <w:rsid w:val="00F733E6"/>
    <w:rsid w:val="00F86FB9"/>
    <w:rsid w:val="00F97303"/>
    <w:rsid w:val="00FA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548D1"/>
  <w15:chartTrackingRefBased/>
  <w15:docId w15:val="{620ABB2C-B529-4B95-AB16-54315CA7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12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3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28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B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0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ABB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A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AB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0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12D"/>
  </w:style>
  <w:style w:type="paragraph" w:styleId="Footer">
    <w:name w:val="footer"/>
    <w:basedOn w:val="Normal"/>
    <w:link w:val="FooterChar"/>
    <w:uiPriority w:val="99"/>
    <w:unhideWhenUsed/>
    <w:rsid w:val="00490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PennMutual Life Insurance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Kensy, Stephanie</dc:creator>
  <cp:keywords/>
  <dc:description/>
  <cp:lastModifiedBy>Shauna Whitelock</cp:lastModifiedBy>
  <cp:revision>2</cp:revision>
  <cp:lastPrinted>2019-04-12T12:53:00Z</cp:lastPrinted>
  <dcterms:created xsi:type="dcterms:W3CDTF">2019-04-18T13:46:00Z</dcterms:created>
  <dcterms:modified xsi:type="dcterms:W3CDTF">2019-04-18T13:46:00Z</dcterms:modified>
</cp:coreProperties>
</file>